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42CAED8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1510B158">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6D5D"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0C1175A"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15DEEC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236A"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F90530">
        <w:t>1</w:t>
      </w:r>
      <w:r w:rsidR="007C1606">
        <w:t>1</w:t>
      </w:r>
      <w:r w:rsidR="005420B4" w:rsidRPr="00893890">
        <w:t>.</w:t>
      </w:r>
      <w:r w:rsidR="00296EFF">
        <w:t xml:space="preserve"> </w:t>
      </w:r>
      <w:r w:rsidR="00F90530">
        <w:t>dubna</w:t>
      </w:r>
      <w:r w:rsidR="00A30105" w:rsidRPr="00893890">
        <w:t xml:space="preserve"> 20</w:t>
      </w:r>
      <w:r w:rsidR="00A7414F" w:rsidRPr="00893890">
        <w:t>2</w:t>
      </w:r>
      <w:r w:rsidR="00CB6DEB">
        <w:t>4</w:t>
      </w:r>
    </w:p>
    <w:p w14:paraId="7EECF1EA" w14:textId="45ACBD74" w:rsidR="002027ED" w:rsidRPr="002027ED" w:rsidRDefault="002027ED" w:rsidP="002027ED">
      <w:pPr>
        <w:pStyle w:val="F2-zkladn"/>
        <w:tabs>
          <w:tab w:val="right" w:pos="9070"/>
        </w:tabs>
        <w:spacing w:line="276" w:lineRule="auto"/>
      </w:pPr>
    </w:p>
    <w:p w14:paraId="2E78882E" w14:textId="0688CA21"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Investiční výhled společnosti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na 2. čtvrtletí: Podstatou je správné načasování</w:t>
      </w:r>
    </w:p>
    <w:p w14:paraId="3E77B751" w14:textId="16FDAA9F" w:rsidR="00C7546F" w:rsidRPr="00C7546F" w:rsidRDefault="00F90530"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Inflace v průběhu roku klesá a trhy jsou odolné. To jsou příznivé signály, které přiměly společnost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k vylepšení základního scénáře (ve svém investičním výhledu na druhé čtvrtletí roku 2024) pro rok 2024 na „měkké přistání“. Podle něj dojde ke stabilizaci růstu v blízkosti trendu.</w:t>
      </w:r>
    </w:p>
    <w:p w14:paraId="101B28EE" w14:textId="77777777" w:rsidR="009572E5" w:rsidRPr="009572E5" w:rsidRDefault="009572E5" w:rsidP="009572E5">
      <w:pPr>
        <w:spacing w:line="360" w:lineRule="auto"/>
        <w:rPr>
          <w:i/>
          <w:iCs/>
          <w:color w:val="20242B"/>
          <w:shd w:val="clear" w:color="auto" w:fill="FFFFFF"/>
        </w:rPr>
      </w:pPr>
      <w:r w:rsidRPr="009572E5">
        <w:rPr>
          <w:i/>
          <w:iCs/>
          <w:color w:val="20242B"/>
          <w:shd w:val="clear" w:color="auto" w:fill="FFFFFF"/>
        </w:rPr>
        <w:t xml:space="preserve">"Do čtvrtého čtvrtletí roku 2023 jsme vstupovali s přesvědčením, že nejpravděpodobnějším scénářem pro rok 2024 bude cyklická recese, která se vyznačuje mírným poklesem ekonomiky a následným návratem k růstu," </w:t>
      </w:r>
      <w:r w:rsidRPr="009572E5">
        <w:rPr>
          <w:color w:val="20242B"/>
          <w:shd w:val="clear" w:color="auto" w:fill="FFFFFF"/>
        </w:rPr>
        <w:t xml:space="preserve">říká Andrew </w:t>
      </w:r>
      <w:proofErr w:type="spellStart"/>
      <w:r w:rsidRPr="009572E5">
        <w:rPr>
          <w:color w:val="20242B"/>
          <w:shd w:val="clear" w:color="auto" w:fill="FFFFFF"/>
        </w:rPr>
        <w:t>McCaffery</w:t>
      </w:r>
      <w:proofErr w:type="spellEnd"/>
      <w:r w:rsidRPr="009572E5">
        <w:rPr>
          <w:color w:val="20242B"/>
          <w:shd w:val="clear" w:color="auto" w:fill="FFFFFF"/>
        </w:rPr>
        <w:t xml:space="preserve">, globální investiční ředitel společnosti </w:t>
      </w:r>
      <w:proofErr w:type="spellStart"/>
      <w:r w:rsidRPr="009572E5">
        <w:rPr>
          <w:color w:val="20242B"/>
          <w:shd w:val="clear" w:color="auto" w:fill="FFFFFF"/>
        </w:rPr>
        <w:t>Fidelity</w:t>
      </w:r>
      <w:proofErr w:type="spellEnd"/>
      <w:r w:rsidRPr="009572E5">
        <w:rPr>
          <w:color w:val="20242B"/>
          <w:shd w:val="clear" w:color="auto" w:fill="FFFFFF"/>
        </w:rPr>
        <w:t xml:space="preserve"> International. </w:t>
      </w:r>
      <w:r w:rsidRPr="009572E5">
        <w:rPr>
          <w:i/>
          <w:iCs/>
          <w:color w:val="20242B"/>
          <w:shd w:val="clear" w:color="auto" w:fill="FFFFFF"/>
        </w:rPr>
        <w:t>"Od začátku roku a nyní po třech uplynulých měsících jsou trhy naladěny pozitivněji – a my také.“</w:t>
      </w:r>
    </w:p>
    <w:p w14:paraId="4FA1A4BD" w14:textId="77777777" w:rsidR="00B36952" w:rsidRPr="00B36952" w:rsidRDefault="00B36952" w:rsidP="00B36952">
      <w:pPr>
        <w:spacing w:line="360" w:lineRule="auto"/>
        <w:rPr>
          <w:i/>
          <w:iCs/>
          <w:color w:val="20242B"/>
          <w:shd w:val="clear" w:color="auto" w:fill="FFFFFF"/>
        </w:rPr>
      </w:pPr>
      <w:r w:rsidRPr="00B36952">
        <w:rPr>
          <w:i/>
          <w:iCs/>
          <w:color w:val="20242B"/>
          <w:shd w:val="clear" w:color="auto" w:fill="FFFFFF"/>
        </w:rPr>
        <w:t xml:space="preserve">"Nadále uvažujeme optikou scénářů, do kterých začleňujeme vývoj nejdůležitějších ekonomických indikátorů spolu s informacemi od našich analytiků působících ve světě. Podle dostupných dat se ekonomiky nadále drží; v důsledku toho i my rádi přijmeme větší riziko. Zatím však nejsme přesvědčeni, že centrální banky svůj boj s inflací vyhrály." </w:t>
      </w:r>
    </w:p>
    <w:p w14:paraId="50E89B56" w14:textId="77777777" w:rsidR="00B36952" w:rsidRPr="00B36952" w:rsidRDefault="00B36952" w:rsidP="00B36952">
      <w:pPr>
        <w:rPr>
          <w:color w:val="20242B"/>
          <w:shd w:val="clear" w:color="auto" w:fill="FFFFFF"/>
        </w:rPr>
      </w:pPr>
      <w:r w:rsidRPr="00B36952">
        <w:rPr>
          <w:color w:val="20242B"/>
          <w:shd w:val="clear" w:color="auto" w:fill="FFFFFF"/>
        </w:rPr>
        <w:t xml:space="preserve">Andrew </w:t>
      </w:r>
      <w:proofErr w:type="spellStart"/>
      <w:r w:rsidRPr="00B36952">
        <w:rPr>
          <w:color w:val="20242B"/>
          <w:shd w:val="clear" w:color="auto" w:fill="FFFFFF"/>
        </w:rPr>
        <w:t>McCaffery</w:t>
      </w:r>
      <w:proofErr w:type="spellEnd"/>
      <w:r w:rsidRPr="00B36952">
        <w:rPr>
          <w:color w:val="20242B"/>
          <w:shd w:val="clear" w:color="auto" w:fill="FFFFFF"/>
        </w:rPr>
        <w:t xml:space="preserve"> upozorňuje na tři témata, která je třeba sledovat při vstupu do druhého čtvrtletí roku 2024:</w:t>
      </w:r>
    </w:p>
    <w:p w14:paraId="5F8D5737" w14:textId="4F573DC7" w:rsidR="00DE4AD3" w:rsidRPr="007F0468" w:rsidRDefault="00440AB9" w:rsidP="00DE4AD3">
      <w:pPr>
        <w:pStyle w:val="F2-zkladn"/>
        <w:numPr>
          <w:ilvl w:val="0"/>
          <w:numId w:val="40"/>
        </w:numPr>
        <w:rPr>
          <w:rFonts w:asciiTheme="minorHAnsi" w:hAnsiTheme="minorHAnsi" w:cstheme="minorHAnsi"/>
          <w:b/>
          <w:bCs/>
          <w:sz w:val="24"/>
          <w:szCs w:val="24"/>
        </w:rPr>
      </w:pPr>
      <w:r>
        <w:rPr>
          <w:rFonts w:asciiTheme="minorHAnsi" w:hAnsiTheme="minorHAnsi" w:cstheme="minorHAnsi"/>
          <w:b/>
          <w:bCs/>
          <w:sz w:val="24"/>
          <w:szCs w:val="24"/>
        </w:rPr>
        <w:t>Komfortnější přistání</w:t>
      </w:r>
    </w:p>
    <w:p w14:paraId="07DE514B" w14:textId="77777777" w:rsidR="007F0468" w:rsidRPr="007F0468" w:rsidRDefault="007F0468" w:rsidP="007F0468">
      <w:pPr>
        <w:spacing w:line="360" w:lineRule="auto"/>
        <w:rPr>
          <w:i/>
          <w:iCs/>
          <w:color w:val="20242B"/>
          <w:shd w:val="clear" w:color="auto" w:fill="FFFFFF"/>
        </w:rPr>
      </w:pPr>
      <w:r w:rsidRPr="007F0468">
        <w:rPr>
          <w:i/>
          <w:iCs/>
          <w:color w:val="20242B"/>
          <w:shd w:val="clear" w:color="auto" w:fill="FFFFFF"/>
        </w:rPr>
        <w:t xml:space="preserve">"Inflace v průběhu roku klesá a trhy vykazují odolnost. To jsou příznivé signály, které naznačují, že ekonomiky si v příštích několika měsících udrží relativně svižnou dynamiku a centrální banky zvládnou – a možná i porazí – fenomén inflace.“ </w:t>
      </w:r>
    </w:p>
    <w:p w14:paraId="4F863BE2" w14:textId="77777777" w:rsidR="007F0468" w:rsidRPr="007F0468" w:rsidRDefault="007F0468" w:rsidP="007F0468">
      <w:pPr>
        <w:spacing w:line="360" w:lineRule="auto"/>
        <w:rPr>
          <w:i/>
          <w:iCs/>
          <w:color w:val="20242B"/>
          <w:shd w:val="clear" w:color="auto" w:fill="FFFFFF"/>
        </w:rPr>
      </w:pPr>
      <w:r w:rsidRPr="007F0468">
        <w:rPr>
          <w:i/>
          <w:iCs/>
          <w:color w:val="20242B"/>
          <w:shd w:val="clear" w:color="auto" w:fill="FFFFFF"/>
        </w:rPr>
        <w:t xml:space="preserve">"Důležitou proměnnou v tomto čtvrtletí bude, zda se centrální bankéři rozhodnou snížit sazby. Pokud vůbec tak učiní, Evropa bude pravděpodobně ve srovnání s ostatními vyspělými trhy ve snižování sazeb napřed. Data z regionu ukazují určité mírné zlepšení aktivity, zejména ve službách, a pozitivně rostoucí spotřebitelský sentiment, a to díky padající inflaci, jež méně zatěžuje peněženky. Evropská centrální banka již vyslala jasný signál, že by mohla být ochotna snížit sazby již v červnu.“ </w:t>
      </w:r>
    </w:p>
    <w:p w14:paraId="2C7614C3" w14:textId="77777777" w:rsidR="007F0468" w:rsidRPr="007F0468" w:rsidRDefault="007F0468" w:rsidP="007F0468">
      <w:pPr>
        <w:spacing w:line="360" w:lineRule="auto"/>
        <w:rPr>
          <w:i/>
          <w:iCs/>
          <w:color w:val="20242B"/>
          <w:shd w:val="clear" w:color="auto" w:fill="FFFFFF"/>
        </w:rPr>
      </w:pPr>
      <w:r w:rsidRPr="007F0468">
        <w:rPr>
          <w:i/>
          <w:iCs/>
          <w:color w:val="20242B"/>
          <w:shd w:val="clear" w:color="auto" w:fill="FFFFFF"/>
        </w:rPr>
        <w:t>"Situace ve Spojených státech je hůře uchopitelná. Inflace se v úvodních měsících roku 2024 odrazila ode dna, přičemž v určitých oblastech zůstává robustní, a prognózy hospodářského růstu jsou vysoké a dále se zvyšují.“</w:t>
      </w:r>
    </w:p>
    <w:p w14:paraId="662DBE64" w14:textId="77777777" w:rsidR="007F0468" w:rsidRPr="007F0468" w:rsidRDefault="007F0468" w:rsidP="007F0468">
      <w:pPr>
        <w:spacing w:line="360" w:lineRule="auto"/>
        <w:rPr>
          <w:color w:val="20242B"/>
          <w:shd w:val="clear" w:color="auto" w:fill="FFFFFF"/>
        </w:rPr>
      </w:pPr>
      <w:r w:rsidRPr="007F0468">
        <w:rPr>
          <w:color w:val="20242B"/>
          <w:shd w:val="clear" w:color="auto" w:fill="FFFFFF"/>
        </w:rPr>
        <w:lastRenderedPageBreak/>
        <w:t>Silná data a přetrvávající inflace představují pro centrální bankéře největší překážku: jakékoli předčasné oslavy vítězství nad inflací by byly rizikem pro jejich důvěryhodnost a mohly by znamenat uvolnění inflačních očekávání. Další zvyšování inflace by rovněž mohlo přivést ekonomiku do recese. Vzhledem k silným datům nám nezbývá než zvýšit pravděpodobnost “nepřistání” na 30 % z 5 % (oproti začátku letošního roku). Tento scénář by znamenal, že ekonomiky udrží svá současná tempa růstu a inflace a postaví tím centrální banky před nutnost udržování politiky vyšších sazeb po delší dobu.</w:t>
      </w:r>
    </w:p>
    <w:p w14:paraId="39215C0E" w14:textId="77777777" w:rsidR="00B410C1" w:rsidRPr="00B410C1" w:rsidRDefault="00B410C1" w:rsidP="00B410C1">
      <w:pPr>
        <w:rPr>
          <w:i/>
          <w:iCs/>
          <w:color w:val="20242B"/>
          <w:shd w:val="clear" w:color="auto" w:fill="FFFFFF"/>
        </w:rPr>
      </w:pPr>
      <w:r w:rsidRPr="00B410C1">
        <w:rPr>
          <w:i/>
          <w:iCs/>
          <w:color w:val="20242B"/>
          <w:shd w:val="clear" w:color="auto" w:fill="FFFFFF"/>
        </w:rPr>
        <w:t>"Poslední míle byla v zápase o inflaci historicky vždy nejtěžší; toto čtvrtletí nám může ukázat, kolik energie centrálním bankéřům na tomto poli ještě zbývá."</w:t>
      </w:r>
    </w:p>
    <w:p w14:paraId="33BA8443" w14:textId="194FB78D" w:rsidR="00B410C1" w:rsidRDefault="00B410C1" w:rsidP="00B410C1">
      <w:pPr>
        <w:pStyle w:val="F2-zkladn"/>
        <w:numPr>
          <w:ilvl w:val="0"/>
          <w:numId w:val="40"/>
        </w:numPr>
        <w:rPr>
          <w:rFonts w:asciiTheme="minorHAnsi" w:hAnsiTheme="minorHAnsi" w:cstheme="minorHAnsi"/>
          <w:b/>
          <w:bCs/>
          <w:sz w:val="24"/>
          <w:szCs w:val="24"/>
        </w:rPr>
      </w:pPr>
      <w:r>
        <w:rPr>
          <w:rFonts w:asciiTheme="minorHAnsi" w:hAnsiTheme="minorHAnsi" w:cstheme="minorHAnsi"/>
          <w:b/>
          <w:bCs/>
          <w:sz w:val="24"/>
          <w:szCs w:val="24"/>
        </w:rPr>
        <w:t>Stabilizace, nikoli zrychlení v Číně</w:t>
      </w:r>
    </w:p>
    <w:p w14:paraId="40646323" w14:textId="09DE38BB" w:rsidR="00B410C1" w:rsidRPr="00B410C1" w:rsidRDefault="00B410C1" w:rsidP="00B410C1">
      <w:pPr>
        <w:spacing w:line="360" w:lineRule="auto"/>
        <w:rPr>
          <w:i/>
          <w:iCs/>
          <w:color w:val="20242B"/>
          <w:shd w:val="clear" w:color="auto" w:fill="FFFFFF"/>
        </w:rPr>
      </w:pPr>
      <w:r w:rsidRPr="00B410C1">
        <w:rPr>
          <w:i/>
          <w:iCs/>
          <w:color w:val="20242B"/>
          <w:shd w:val="clear" w:color="auto" w:fill="FFFFFF"/>
        </w:rPr>
        <w:t>"Čína vypracovala plán "řízené stabilizace" své ekonomiky, která se vyrovnává s poklesem na trhu nemovitostí a snaží se provést transformaci od dluhem poháněné expanze směrem ke spotřebě a výrobě s vysokou přidanou hodnotou. Dynamika v sektoru nemovitostí nadále slábne – zároveň však jeho i příspěvek k HDP, který postupně přebírá nabídková strana ekonomiky.</w:t>
      </w:r>
      <w:r>
        <w:rPr>
          <w:i/>
          <w:iCs/>
          <w:color w:val="20242B"/>
          <w:shd w:val="clear" w:color="auto" w:fill="FFFFFF"/>
        </w:rPr>
        <w:t>“</w:t>
      </w:r>
    </w:p>
    <w:p w14:paraId="1226153B" w14:textId="1CA8D23D" w:rsidR="00B410C1" w:rsidRPr="00B410C1" w:rsidRDefault="00B410C1" w:rsidP="00B410C1">
      <w:pPr>
        <w:spacing w:line="360" w:lineRule="auto"/>
        <w:rPr>
          <w:i/>
          <w:iCs/>
          <w:color w:val="20242B"/>
          <w:shd w:val="clear" w:color="auto" w:fill="FFFFFF"/>
        </w:rPr>
      </w:pPr>
      <w:r w:rsidRPr="00B410C1">
        <w:rPr>
          <w:i/>
          <w:iCs/>
          <w:color w:val="20242B"/>
          <w:shd w:val="clear" w:color="auto" w:fill="FFFFFF"/>
        </w:rPr>
        <w:t>"V monetární politice neočekáváme žádné výrazné snižování sazeb ze strany Čínské lidové banky, dokud nedojde k jasnému obratu u amerického Federálního rezervního systému. I kdyby však Fed začal uvolňovat, snížení sazeb v Číně pravděpodobně nebude agresivní a uvolňování měnové politiky bude v letošním roce hrát jen podpůrnou roli k fiskálním opatřením.“</w:t>
      </w:r>
    </w:p>
    <w:p w14:paraId="0210D654" w14:textId="0921728A" w:rsidR="00B410C1" w:rsidRDefault="00B410C1" w:rsidP="00B410C1">
      <w:pPr>
        <w:spacing w:line="360" w:lineRule="auto"/>
        <w:rPr>
          <w:i/>
          <w:iCs/>
          <w:color w:val="20242B"/>
          <w:shd w:val="clear" w:color="auto" w:fill="FFFFFF"/>
        </w:rPr>
      </w:pPr>
      <w:r w:rsidRPr="00B410C1">
        <w:rPr>
          <w:i/>
          <w:iCs/>
          <w:color w:val="20242B"/>
          <w:shd w:val="clear" w:color="auto" w:fill="FFFFFF"/>
        </w:rPr>
        <w:t>"Naše prognóza meziročního tempa růstu v Číně se nachází mírně pod oficiálním cílem, protože nevidíme dostatečně silné politické odhodlání. K vyhodnocení trajektorie růstu Číny v letošním roce bude nutné pozorně sledovat fiskální opatření, jako například emise dluhopisů vládou.“</w:t>
      </w:r>
    </w:p>
    <w:p w14:paraId="5BFF0B09" w14:textId="78FBB4AD" w:rsidR="00B410C1" w:rsidRPr="00B410C1" w:rsidRDefault="00B410C1" w:rsidP="00BA3548">
      <w:pPr>
        <w:spacing w:line="360" w:lineRule="auto"/>
        <w:rPr>
          <w:i/>
          <w:iCs/>
          <w:color w:val="20242B"/>
          <w:shd w:val="clear" w:color="auto" w:fill="FFFFFF"/>
        </w:rPr>
      </w:pPr>
      <w:r w:rsidRPr="00B410C1">
        <w:rPr>
          <w:i/>
          <w:iCs/>
          <w:color w:val="20242B"/>
          <w:shd w:val="clear" w:color="auto" w:fill="FFFFFF"/>
        </w:rPr>
        <w:t xml:space="preserve">"Zpomalení růstu v Číně a širší geopolitická rizika nadále posilují trend "Čína plus jedna", v jehož důsledku globální firmy snižují svou závislost na vývozu z této země. Ostatní země </w:t>
      </w:r>
      <w:proofErr w:type="spellStart"/>
      <w:r w:rsidRPr="00B410C1">
        <w:rPr>
          <w:i/>
          <w:iCs/>
          <w:color w:val="20242B"/>
          <w:shd w:val="clear" w:color="auto" w:fill="FFFFFF"/>
        </w:rPr>
        <w:t>Aseanu</w:t>
      </w:r>
      <w:proofErr w:type="spellEnd"/>
      <w:r w:rsidRPr="00B410C1">
        <w:rPr>
          <w:i/>
          <w:iCs/>
          <w:color w:val="20242B"/>
          <w:shd w:val="clear" w:color="auto" w:fill="FFFFFF"/>
        </w:rPr>
        <w:t xml:space="preserve"> jako Vietnam a Indonésie z tohoto trendu již těží. Stejně tak země nacházející se blíže finálním dovozcům – jako například Mexiko, které těží z </w:t>
      </w:r>
      <w:proofErr w:type="spellStart"/>
      <w:r w:rsidRPr="00B410C1">
        <w:rPr>
          <w:i/>
          <w:iCs/>
          <w:color w:val="20242B"/>
          <w:shd w:val="clear" w:color="auto" w:fill="FFFFFF"/>
        </w:rPr>
        <w:t>nearshoringu</w:t>
      </w:r>
      <w:proofErr w:type="spellEnd"/>
      <w:r w:rsidRPr="00B410C1">
        <w:rPr>
          <w:i/>
          <w:iCs/>
          <w:color w:val="20242B"/>
          <w:shd w:val="clear" w:color="auto" w:fill="FFFFFF"/>
        </w:rPr>
        <w:t xml:space="preserve"> výroby v USA </w:t>
      </w:r>
      <w:r w:rsidRPr="009572E5">
        <w:rPr>
          <w:i/>
          <w:iCs/>
          <w:color w:val="20242B"/>
          <w:shd w:val="clear" w:color="auto" w:fill="FFFFFF"/>
        </w:rPr>
        <w:t>–</w:t>
      </w:r>
      <w:r>
        <w:rPr>
          <w:i/>
          <w:iCs/>
          <w:color w:val="20242B"/>
          <w:shd w:val="clear" w:color="auto" w:fill="FFFFFF"/>
        </w:rPr>
        <w:t xml:space="preserve"> </w:t>
      </w:r>
      <w:r w:rsidRPr="00B410C1">
        <w:rPr>
          <w:i/>
          <w:iCs/>
          <w:color w:val="20242B"/>
          <w:shd w:val="clear" w:color="auto" w:fill="FFFFFF"/>
        </w:rPr>
        <w:t xml:space="preserve">jsou žádanými oblastmi na mapě rozvíjejících se trhů.“ </w:t>
      </w:r>
    </w:p>
    <w:p w14:paraId="02E69C4D" w14:textId="77777777" w:rsidR="00BA3548" w:rsidRPr="00BA3548" w:rsidRDefault="00BA3548" w:rsidP="00BA3548">
      <w:pPr>
        <w:spacing w:line="360" w:lineRule="auto"/>
        <w:rPr>
          <w:i/>
          <w:iCs/>
          <w:color w:val="20242B"/>
          <w:shd w:val="clear" w:color="auto" w:fill="FFFFFF"/>
        </w:rPr>
      </w:pPr>
      <w:r w:rsidRPr="00BA3548">
        <w:rPr>
          <w:i/>
          <w:iCs/>
          <w:color w:val="20242B"/>
          <w:shd w:val="clear" w:color="auto" w:fill="FFFFFF"/>
        </w:rPr>
        <w:t xml:space="preserve">"Tento trend bude pravděpodobně pokračovat navzdory poklesu globální poptávky, ačkoli se objevují povzbudivé známky toho, že ekonomická aktivita v Číně se vrací zpět. Zdá se, že čínská vláda upřednostňuje v krátkodobém horizontu stabilizaci růstu před jeho agresivním zrychlováním." </w:t>
      </w:r>
    </w:p>
    <w:p w14:paraId="6F1047FB" w14:textId="280FA94D" w:rsidR="00BA3548" w:rsidRDefault="00BA3548" w:rsidP="00BA3548">
      <w:pPr>
        <w:pStyle w:val="F2-zkladn"/>
        <w:numPr>
          <w:ilvl w:val="0"/>
          <w:numId w:val="40"/>
        </w:numPr>
        <w:rPr>
          <w:rFonts w:asciiTheme="minorHAnsi" w:hAnsiTheme="minorHAnsi" w:cstheme="minorHAnsi"/>
          <w:b/>
          <w:bCs/>
          <w:sz w:val="24"/>
          <w:szCs w:val="24"/>
        </w:rPr>
      </w:pPr>
      <w:r>
        <w:rPr>
          <w:rFonts w:asciiTheme="minorHAnsi" w:hAnsiTheme="minorHAnsi" w:cstheme="minorHAnsi"/>
          <w:b/>
          <w:bCs/>
          <w:sz w:val="24"/>
          <w:szCs w:val="24"/>
        </w:rPr>
        <w:t>V čem spočívají rizika?</w:t>
      </w:r>
    </w:p>
    <w:p w14:paraId="2B7494A0" w14:textId="77777777" w:rsidR="00BA3548" w:rsidRDefault="00BA3548" w:rsidP="00BA3548">
      <w:pPr>
        <w:spacing w:line="360" w:lineRule="auto"/>
        <w:rPr>
          <w:i/>
          <w:iCs/>
          <w:color w:val="20242B"/>
          <w:shd w:val="clear" w:color="auto" w:fill="FFFFFF"/>
        </w:rPr>
      </w:pPr>
      <w:r w:rsidRPr="00BA3548">
        <w:rPr>
          <w:i/>
          <w:iCs/>
          <w:color w:val="20242B"/>
          <w:shd w:val="clear" w:color="auto" w:fill="FFFFFF"/>
        </w:rPr>
        <w:t>"Pro letošní rok jsme pozitivnější, ale nezapomínáme ani na rizika. Vyhlídka na “nepřistání” roste a s ní i hrozba, že sazby neklesnou, jak mnozí doufali. Ani riziko recese zcela nezmizelo – změnilo se zejména její načasování. Trváme na tom, že nejpravděpodobnějším výsledkem je prozatím měkké přistání a recese se odkládá až na příští rok.“</w:t>
      </w:r>
    </w:p>
    <w:p w14:paraId="5533DC98" w14:textId="77777777" w:rsidR="00BA3548" w:rsidRDefault="00BA3548" w:rsidP="00BA3548"/>
    <w:p w14:paraId="41A2A170" w14:textId="77777777" w:rsidR="00BA3548" w:rsidRPr="00BA3548" w:rsidRDefault="00BA3548" w:rsidP="00BA3548">
      <w:pPr>
        <w:spacing w:line="360" w:lineRule="auto"/>
        <w:rPr>
          <w:i/>
          <w:iCs/>
          <w:color w:val="20242B"/>
          <w:shd w:val="clear" w:color="auto" w:fill="FFFFFF"/>
        </w:rPr>
      </w:pPr>
      <w:r w:rsidRPr="00BA3548">
        <w:rPr>
          <w:i/>
          <w:iCs/>
          <w:color w:val="20242B"/>
          <w:shd w:val="clear" w:color="auto" w:fill="FFFFFF"/>
        </w:rPr>
        <w:lastRenderedPageBreak/>
        <w:t xml:space="preserve">"Důvodem je především pokračující tlak, který na finanční systémy klade hojná likvidita a fiskální uvolněnost. Výdaje USA byly financovány vyčerpáním reverzní </w:t>
      </w:r>
      <w:proofErr w:type="spellStart"/>
      <w:r w:rsidRPr="00BA3548">
        <w:rPr>
          <w:i/>
          <w:iCs/>
          <w:color w:val="20242B"/>
          <w:shd w:val="clear" w:color="auto" w:fill="FFFFFF"/>
        </w:rPr>
        <w:t>repo</w:t>
      </w:r>
      <w:proofErr w:type="spellEnd"/>
      <w:r w:rsidRPr="00BA3548">
        <w:rPr>
          <w:i/>
          <w:iCs/>
          <w:color w:val="20242B"/>
          <w:shd w:val="clear" w:color="auto" w:fill="FFFFFF"/>
        </w:rPr>
        <w:t xml:space="preserve"> operace </w:t>
      </w:r>
      <w:proofErr w:type="spellStart"/>
      <w:r w:rsidRPr="00BA3548">
        <w:rPr>
          <w:i/>
          <w:iCs/>
          <w:color w:val="20242B"/>
          <w:shd w:val="clear" w:color="auto" w:fill="FFFFFF"/>
        </w:rPr>
        <w:t>Fedu</w:t>
      </w:r>
      <w:proofErr w:type="spellEnd"/>
      <w:r w:rsidRPr="00BA3548">
        <w:rPr>
          <w:i/>
          <w:iCs/>
          <w:color w:val="20242B"/>
          <w:shd w:val="clear" w:color="auto" w:fill="FFFFFF"/>
        </w:rPr>
        <w:t xml:space="preserve"> téměř na nulu. Fiskální velkorysost bude provázet ekonomiku USA i v letošní volební rok, ale ve stínu číhají problémy jako blížící se dluhové splatnosti a dluhové refinancování, které budou v příštím roce tížit mnoho společností. To by mohl být bod, kde se bude lámat chleba, který centrální banky, alespoň prozatím, dokázaly úspěšně odvrátit.“ </w:t>
      </w:r>
    </w:p>
    <w:p w14:paraId="388CD4DC" w14:textId="77777777" w:rsidR="00BA3548" w:rsidRPr="00BA3548" w:rsidRDefault="00BA3548" w:rsidP="00BA3548">
      <w:pPr>
        <w:spacing w:line="360" w:lineRule="auto"/>
        <w:rPr>
          <w:i/>
          <w:iCs/>
          <w:color w:val="20242B"/>
          <w:shd w:val="clear" w:color="auto" w:fill="FFFFFF"/>
        </w:rPr>
      </w:pPr>
      <w:r w:rsidRPr="00BA3548">
        <w:rPr>
          <w:i/>
          <w:iCs/>
          <w:color w:val="20242B"/>
          <w:shd w:val="clear" w:color="auto" w:fill="FFFFFF"/>
        </w:rPr>
        <w:t>"Existují i další rizika. Rok plný válek a voleb znamená, že geopolitika pravděpodobně zanechá na trzích svou stopu, i když je těžké předpovědět, jakým způsobem.“</w:t>
      </w:r>
    </w:p>
    <w:p w14:paraId="14BBC888" w14:textId="77777777" w:rsidR="00BA3548" w:rsidRPr="00BA3548" w:rsidRDefault="00BA3548" w:rsidP="00BA3548">
      <w:pPr>
        <w:spacing w:line="360" w:lineRule="auto"/>
        <w:rPr>
          <w:i/>
          <w:iCs/>
          <w:color w:val="20242B"/>
          <w:shd w:val="clear" w:color="auto" w:fill="FFFFFF"/>
        </w:rPr>
      </w:pPr>
      <w:r w:rsidRPr="00BA3548">
        <w:rPr>
          <w:i/>
          <w:iCs/>
          <w:color w:val="20242B"/>
          <w:shd w:val="clear" w:color="auto" w:fill="FFFFFF"/>
        </w:rPr>
        <w:t xml:space="preserve">"Pozorně sledujeme také vývoj v oblasti umělé inteligence. Mnoho našich analytiků hlásí boom produktivity v jimi sledovaných společnostech, částečně poháněný právě umělou inteligencí. Zdá se, že některé firmy pokrok v této oblasti přijímají, zatímco jiné budou nuceny do jejího rozvoje výrazně investovat, aby nezůstaly pozadu. To bude znamenat </w:t>
      </w:r>
      <w:proofErr w:type="spellStart"/>
      <w:r w:rsidRPr="00BA3548">
        <w:rPr>
          <w:i/>
          <w:iCs/>
          <w:color w:val="20242B"/>
          <w:shd w:val="clear" w:color="auto" w:fill="FFFFFF"/>
        </w:rPr>
        <w:t>disrupce</w:t>
      </w:r>
      <w:proofErr w:type="spellEnd"/>
      <w:r w:rsidRPr="00BA3548">
        <w:rPr>
          <w:i/>
          <w:iCs/>
          <w:color w:val="20242B"/>
          <w:shd w:val="clear" w:color="auto" w:fill="FFFFFF"/>
        </w:rPr>
        <w:t xml:space="preserve"> na trzích i v celých ekonomikách na mnoho let dopředu. Nic z toho se samozřejmě nestane ze dne na den – nyní se díváme do 2. čtvrtletí. Nicméně přes všechno, co AI slibuje, s sebou nese i rizika, která teprve pochopíme. </w:t>
      </w:r>
    </w:p>
    <w:p w14:paraId="58525EE8" w14:textId="77777777" w:rsidR="00BA3548" w:rsidRPr="00BA3548" w:rsidRDefault="00BA3548" w:rsidP="00BA3548">
      <w:pPr>
        <w:rPr>
          <w:i/>
          <w:iCs/>
          <w:color w:val="20242B"/>
          <w:shd w:val="clear" w:color="auto" w:fill="FFFFFF"/>
        </w:rPr>
      </w:pPr>
      <w:r w:rsidRPr="00BA3548">
        <w:rPr>
          <w:i/>
          <w:iCs/>
          <w:color w:val="20242B"/>
          <w:shd w:val="clear" w:color="auto" w:fill="FFFFFF"/>
        </w:rPr>
        <w:t xml:space="preserve">"To by mohlo sloužit jako mantra pro nadcházející čtvrtletí." </w:t>
      </w:r>
    </w:p>
    <w:p w14:paraId="3BF27A36" w14:textId="77777777" w:rsidR="00BA3548" w:rsidRPr="00BA3548" w:rsidRDefault="00BA3548" w:rsidP="00BA3548">
      <w:pPr>
        <w:pStyle w:val="F2-zkladn"/>
        <w:rPr>
          <w:i/>
          <w:iCs/>
          <w:color w:val="20242B"/>
          <w:shd w:val="clear" w:color="auto" w:fill="FFFFFF"/>
        </w:rPr>
      </w:pPr>
    </w:p>
    <w:p w14:paraId="78CAEE9B" w14:textId="77777777" w:rsidR="00B410C1" w:rsidRPr="00B410C1" w:rsidRDefault="00B410C1" w:rsidP="00B410C1">
      <w:pPr>
        <w:pStyle w:val="F2-zkladn"/>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w:t>
      </w:r>
      <w:r>
        <w:lastRenderedPageBreak/>
        <w:t xml:space="preserve">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8B10199" w14:textId="42B8A0CF" w:rsidR="007C1606" w:rsidRDefault="007C1606" w:rsidP="002027ED">
      <w:pPr>
        <w:pStyle w:val="F2-zkladn"/>
      </w:pPr>
      <w:r w:rsidRPr="007C1606">
        <w:t>MKAT12145</w:t>
      </w:r>
    </w:p>
    <w:sectPr w:rsidR="007C1606" w:rsidSect="001C21DF">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811A" w14:textId="77777777" w:rsidR="001C21DF" w:rsidRDefault="001C21DF">
      <w:r>
        <w:separator/>
      </w:r>
    </w:p>
  </w:endnote>
  <w:endnote w:type="continuationSeparator" w:id="0">
    <w:p w14:paraId="72501528" w14:textId="77777777" w:rsidR="001C21DF" w:rsidRDefault="001C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AB3C" w14:textId="77777777" w:rsidR="001C21DF" w:rsidRDefault="001C21DF">
      <w:r>
        <w:separator/>
      </w:r>
    </w:p>
  </w:footnote>
  <w:footnote w:type="continuationSeparator" w:id="0">
    <w:p w14:paraId="3A854AFC" w14:textId="77777777" w:rsidR="001C21DF" w:rsidRDefault="001C21DF">
      <w:r>
        <w:continuationSeparator/>
      </w:r>
    </w:p>
  </w:footnote>
  <w:footnote w:type="continuationNotice" w:id="1">
    <w:p w14:paraId="0E583EB0" w14:textId="77777777" w:rsidR="001C21DF" w:rsidRDefault="001C2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1680</Words>
  <Characters>9914</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11571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2024-04-10T11:54:00Z</dcterms:created>
  <dcterms:modified xsi:type="dcterms:W3CDTF">2024-04-11T10:42:00Z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